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DC" w:rsidRDefault="005262CB" w:rsidP="00531C8F">
      <w:pPr>
        <w:pStyle w:val="2"/>
        <w:spacing w:before="0" w:beforeAutospacing="0" w:after="0" w:afterAutospacing="0"/>
        <w:ind w:left="-567" w:firstLine="56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53150" cy="2962275"/>
            <wp:effectExtent l="19050" t="0" r="0" b="0"/>
            <wp:docPr id="1" name="Рисунок 1" descr="90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AA" w:rsidRDefault="000A00AA" w:rsidP="000A00AA">
      <w:pPr>
        <w:jc w:val="center"/>
        <w:rPr>
          <w:b/>
          <w:bCs/>
          <w:color w:val="000000"/>
          <w:sz w:val="48"/>
          <w:szCs w:val="48"/>
        </w:rPr>
      </w:pPr>
    </w:p>
    <w:p w:rsidR="000A00AA" w:rsidRDefault="000A00AA" w:rsidP="000A00AA">
      <w:pPr>
        <w:jc w:val="center"/>
        <w:rPr>
          <w:b/>
          <w:bCs/>
          <w:color w:val="000000"/>
          <w:sz w:val="48"/>
          <w:szCs w:val="48"/>
        </w:rPr>
      </w:pPr>
    </w:p>
    <w:p w:rsidR="000A00AA" w:rsidRDefault="000A00AA" w:rsidP="000A00AA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0A00AA">
        <w:rPr>
          <w:rFonts w:ascii="Times New Roman" w:hAnsi="Times New Roman"/>
          <w:b/>
          <w:bCs/>
          <w:color w:val="000000"/>
          <w:sz w:val="48"/>
          <w:szCs w:val="48"/>
        </w:rPr>
        <w:t xml:space="preserve">УЧЕБНЫЙ ПЛАН </w:t>
      </w:r>
    </w:p>
    <w:p w:rsidR="000A00AA" w:rsidRPr="000A00AA" w:rsidRDefault="000A00AA" w:rsidP="000A00A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надомного обучения, </w:t>
      </w:r>
      <w:r>
        <w:rPr>
          <w:rFonts w:ascii="Times New Roman" w:hAnsi="Times New Roman"/>
          <w:b/>
          <w:bCs/>
          <w:color w:val="000000"/>
          <w:sz w:val="48"/>
          <w:szCs w:val="4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вид, 8 класс</w:t>
      </w:r>
    </w:p>
    <w:p w:rsidR="000A00AA" w:rsidRPr="000A00AA" w:rsidRDefault="000A00AA" w:rsidP="000A00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00A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казенного общеобразовательного учреждения </w:t>
      </w:r>
    </w:p>
    <w:p w:rsidR="000A00AA" w:rsidRPr="000A00AA" w:rsidRDefault="000A00AA" w:rsidP="000A00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00AA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«Харитоновская средняя общеобразовательная школа </w:t>
      </w:r>
    </w:p>
    <w:p w:rsidR="000A00AA" w:rsidRPr="000A00AA" w:rsidRDefault="000A00AA" w:rsidP="000A00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00AA">
        <w:rPr>
          <w:rFonts w:ascii="Times New Roman" w:hAnsi="Times New Roman"/>
          <w:b/>
          <w:bCs/>
          <w:color w:val="000000"/>
          <w:sz w:val="28"/>
          <w:szCs w:val="28"/>
        </w:rPr>
        <w:t>Завьяловского района»</w:t>
      </w:r>
    </w:p>
    <w:p w:rsidR="000A00AA" w:rsidRPr="000A00AA" w:rsidRDefault="000A00AA" w:rsidP="000A00AA">
      <w:pPr>
        <w:jc w:val="center"/>
        <w:rPr>
          <w:rFonts w:ascii="Times New Roman" w:hAnsi="Times New Roman"/>
          <w:color w:val="000000"/>
        </w:rPr>
      </w:pPr>
    </w:p>
    <w:p w:rsidR="000A00AA" w:rsidRPr="000A00AA" w:rsidRDefault="000A00AA" w:rsidP="000A00AA">
      <w:pPr>
        <w:jc w:val="center"/>
        <w:rPr>
          <w:rFonts w:ascii="Times New Roman" w:hAnsi="Times New Roman"/>
          <w:color w:val="000000"/>
        </w:rPr>
      </w:pPr>
      <w:r w:rsidRPr="000A00AA">
        <w:rPr>
          <w:rFonts w:ascii="Times New Roman" w:hAnsi="Times New Roman"/>
          <w:b/>
          <w:bCs/>
          <w:color w:val="000000"/>
          <w:sz w:val="28"/>
          <w:szCs w:val="28"/>
        </w:rPr>
        <w:t>на 2017/2018 учебный год</w:t>
      </w:r>
    </w:p>
    <w:p w:rsidR="000A00AA" w:rsidRDefault="000A00AA" w:rsidP="000A00AA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A00AA" w:rsidRDefault="000A00AA" w:rsidP="000A00A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A00AA" w:rsidRDefault="000A00AA" w:rsidP="000A00AA">
      <w:pPr>
        <w:jc w:val="center"/>
        <w:rPr>
          <w:b/>
          <w:bCs/>
          <w:color w:val="000000"/>
          <w:sz w:val="28"/>
          <w:szCs w:val="28"/>
        </w:rPr>
      </w:pPr>
    </w:p>
    <w:p w:rsidR="000A00AA" w:rsidRDefault="000A00AA" w:rsidP="000A00AA">
      <w:pPr>
        <w:jc w:val="center"/>
        <w:rPr>
          <w:b/>
          <w:bCs/>
          <w:color w:val="000000"/>
          <w:sz w:val="28"/>
          <w:szCs w:val="28"/>
        </w:rPr>
      </w:pPr>
    </w:p>
    <w:p w:rsidR="000A00AA" w:rsidRDefault="000A00AA" w:rsidP="000A00AA">
      <w:pPr>
        <w:jc w:val="center"/>
        <w:rPr>
          <w:b/>
          <w:bCs/>
          <w:color w:val="000000"/>
          <w:sz w:val="28"/>
          <w:szCs w:val="28"/>
        </w:rPr>
      </w:pPr>
    </w:p>
    <w:p w:rsidR="000A00AA" w:rsidRPr="000A00AA" w:rsidRDefault="000A00AA" w:rsidP="000A00A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0A00AA">
        <w:rPr>
          <w:rFonts w:ascii="Times New Roman" w:hAnsi="Times New Roman"/>
          <w:b/>
          <w:bCs/>
          <w:color w:val="000000"/>
          <w:sz w:val="28"/>
          <w:szCs w:val="28"/>
        </w:rPr>
        <w:t>.Харитоново</w:t>
      </w:r>
    </w:p>
    <w:p w:rsidR="000A00AA" w:rsidRDefault="000A00AA" w:rsidP="00531C8F">
      <w:pPr>
        <w:pStyle w:val="2"/>
        <w:spacing w:before="0" w:beforeAutospacing="0" w:after="0" w:afterAutospacing="0"/>
        <w:ind w:left="-567" w:firstLine="567"/>
        <w:rPr>
          <w:sz w:val="26"/>
          <w:szCs w:val="26"/>
        </w:rPr>
      </w:pP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Учебный план начального общего образования М</w:t>
      </w:r>
      <w:r w:rsidR="002513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«</w:t>
      </w:r>
      <w:r w:rsidR="002513FC">
        <w:rPr>
          <w:rFonts w:ascii="Times New Roman" w:hAnsi="Times New Roman"/>
          <w:sz w:val="24"/>
          <w:szCs w:val="24"/>
        </w:rPr>
        <w:t xml:space="preserve">Харитоновская </w:t>
      </w:r>
      <w:r>
        <w:rPr>
          <w:rFonts w:ascii="Times New Roman" w:hAnsi="Times New Roman"/>
          <w:sz w:val="24"/>
          <w:szCs w:val="24"/>
        </w:rPr>
        <w:t xml:space="preserve"> сре</w:t>
      </w:r>
      <w:r w:rsidR="002513FC">
        <w:rPr>
          <w:rFonts w:ascii="Times New Roman" w:hAnsi="Times New Roman"/>
          <w:sz w:val="24"/>
          <w:szCs w:val="24"/>
        </w:rPr>
        <w:t>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Завьяловского района» является нормативным документом, определяющим максимальный объём учебной нагрузки обучающихся, состав учебных предметов, распределяет учебное время (аудиторную нагрузку), отводимое на изучение различных учебных предметов обязательной части и части, формируемой участниками образовательной деятельности.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Нормативно-правовую основу разработки учебного плана М</w:t>
      </w:r>
      <w:r w:rsidR="002513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«</w:t>
      </w:r>
      <w:r w:rsidR="002513FC">
        <w:rPr>
          <w:rFonts w:ascii="Times New Roman" w:hAnsi="Times New Roman"/>
          <w:sz w:val="24"/>
          <w:szCs w:val="24"/>
        </w:rPr>
        <w:t xml:space="preserve">Харитоновская </w:t>
      </w:r>
      <w:r>
        <w:rPr>
          <w:rFonts w:ascii="Times New Roman" w:hAnsi="Times New Roman"/>
          <w:sz w:val="24"/>
          <w:szCs w:val="24"/>
        </w:rPr>
        <w:t>сре</w:t>
      </w:r>
      <w:r w:rsidR="002513FC">
        <w:rPr>
          <w:rFonts w:ascii="Times New Roman" w:hAnsi="Times New Roman"/>
          <w:sz w:val="24"/>
          <w:szCs w:val="24"/>
        </w:rPr>
        <w:t>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Завьяловского района» составляют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Федеральный закон от 29.12.2012 N 273-ФЗ "Об образовании в Российской Федерации";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(в ред. Приказа Минобрнауки России от 13.12.2013 N 1342; );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>
        <w:rPr>
          <w:rFonts w:ascii="Times New Roman" w:hAnsi="Times New Roman"/>
          <w:sz w:val="24"/>
          <w:szCs w:val="24"/>
        </w:rPr>
        <w:tab/>
        <w:t xml:space="preserve"> Министерства образования и науки Российской Федерации от 31 марта 2014 года №253 "Об утверждении федеральных перечней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образования;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№189, (зарегистрировано в Минюсте Российской Федерации 03.03.2011 № 19993);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 письмо от 08.10.2010 г. № ИК - 1494/19 «О введении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 - приложение № 3;</w:t>
      </w:r>
    </w:p>
    <w:p w:rsidR="003A2DDC" w:rsidRDefault="003A2DDC" w:rsidP="003A2DDC">
      <w:pPr>
        <w:pStyle w:val="Default"/>
      </w:pPr>
      <w:r>
        <w:t xml:space="preserve">-  </w:t>
      </w:r>
      <w:r>
        <w:rPr>
          <w:bCs/>
        </w:rPr>
        <w:t>Примерная адаптированная основная общеобразовательная программа начального общего образования обучающихся с умственной отсталостью В.1, В 2;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нормативные правовые документы, регламентирующие образовательную деятельность ОУ.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структура учебного плана начального общего образования определяются требованиями ФГОС, учебным планом реализуемой образовательной системы (системой УМК).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</w:t>
      </w:r>
      <w:r w:rsidR="002513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«</w:t>
      </w:r>
      <w:r w:rsidR="002513FC">
        <w:rPr>
          <w:rFonts w:ascii="Times New Roman" w:hAnsi="Times New Roman"/>
          <w:sz w:val="24"/>
          <w:szCs w:val="24"/>
        </w:rPr>
        <w:t>Харитоновская  СОШ</w:t>
      </w:r>
      <w:r>
        <w:rPr>
          <w:rFonts w:ascii="Times New Roman" w:hAnsi="Times New Roman"/>
          <w:sz w:val="24"/>
          <w:szCs w:val="24"/>
        </w:rPr>
        <w:t xml:space="preserve"> Завьяловского района»(далее ― Учебный план), реализующего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3A2DDC" w:rsidRDefault="003A2DDC" w:rsidP="003A2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Стандарта (п. 1. 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могут быть представлены в 4-х вариантах: </w:t>
      </w:r>
    </w:p>
    <w:p w:rsidR="003A2DDC" w:rsidRDefault="003A2DDC" w:rsidP="003A2DDC">
      <w:pPr>
        <w:numPr>
          <w:ilvl w:val="0"/>
          <w:numId w:val="1"/>
        </w:numPr>
        <w:spacing w:after="0" w:line="240" w:lineRule="auto"/>
        <w:ind w:left="0" w:hanging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― I-IV; V-IX классы (9 лет); </w:t>
      </w:r>
    </w:p>
    <w:p w:rsidR="003A2DDC" w:rsidRDefault="003A2DDC" w:rsidP="003A2DDC">
      <w:pPr>
        <w:numPr>
          <w:ilvl w:val="0"/>
          <w:numId w:val="1"/>
        </w:numPr>
        <w:spacing w:after="0" w:line="240" w:lineRule="auto"/>
        <w:ind w:left="0" w:hanging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― подготовительный первый (I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)- IV; V-IX классы (10 лет); </w:t>
      </w:r>
    </w:p>
    <w:p w:rsidR="003A2DDC" w:rsidRDefault="003A2DDC" w:rsidP="003A2DDC">
      <w:pPr>
        <w:numPr>
          <w:ilvl w:val="0"/>
          <w:numId w:val="1"/>
        </w:numPr>
        <w:spacing w:after="0" w:line="240" w:lineRule="auto"/>
        <w:ind w:left="0" w:hanging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― I-IV; V-IX; X-XII (12 лет); </w:t>
      </w:r>
    </w:p>
    <w:p w:rsidR="003A2DDC" w:rsidRDefault="003A2DDC" w:rsidP="003A2DDC">
      <w:pPr>
        <w:numPr>
          <w:ilvl w:val="0"/>
          <w:numId w:val="1"/>
        </w:numPr>
        <w:spacing w:after="0" w:line="240" w:lineRule="auto"/>
        <w:ind w:left="0" w:hanging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― подготовительный первый (I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)- IV; V-IX; X-XII (13 лет). 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DDC" w:rsidRDefault="003A2DDC" w:rsidP="003A2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513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«</w:t>
      </w:r>
      <w:r w:rsidR="002513FC">
        <w:rPr>
          <w:rFonts w:ascii="Times New Roman" w:hAnsi="Times New Roman"/>
          <w:sz w:val="24"/>
          <w:szCs w:val="24"/>
        </w:rPr>
        <w:t>Харитоновская  СОШ</w:t>
      </w:r>
      <w:r>
        <w:rPr>
          <w:rFonts w:ascii="Times New Roman" w:hAnsi="Times New Roman"/>
          <w:sz w:val="24"/>
          <w:szCs w:val="24"/>
        </w:rPr>
        <w:t xml:space="preserve">» выбран 1 вариант сроков обучения с учетом 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 наличия комплекса условий для реализации АООП (кадровые, финансовые и материально-технические).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</w:p>
    <w:p w:rsidR="003A2DDC" w:rsidRDefault="003A2DDC" w:rsidP="003A2D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состоит из двух частей — </w:t>
      </w:r>
      <w:r>
        <w:rPr>
          <w:rFonts w:ascii="Times New Roman" w:hAnsi="Times New Roman"/>
          <w:sz w:val="24"/>
          <w:szCs w:val="24"/>
          <w:u w:val="single"/>
        </w:rPr>
        <w:t>обязательной части и части, формируемой участниками образовательных отношений.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формирование основ духовно-нравственного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</w:t>
      </w:r>
    </w:p>
    <w:p w:rsidR="003A2DDC" w:rsidRDefault="003A2DDC" w:rsidP="003A2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экстремальных ситуациях.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 </w:t>
      </w:r>
    </w:p>
    <w:p w:rsidR="003A2DDC" w:rsidRDefault="003A2DDC" w:rsidP="003A2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Таким образом, часть учебного плана, формируемая участниками образовательных отношений, предусматривает: </w:t>
      </w:r>
    </w:p>
    <w:p w:rsidR="003A2DDC" w:rsidRDefault="003A2DDC" w:rsidP="003A2DDC">
      <w:pPr>
        <w:spacing w:after="0" w:line="240" w:lineRule="auto"/>
        <w:ind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учебные занятия, обеспечивающие различные интересы обучающихся, в том числе этнокультурные; увеличение учебных часов, отводимых на изучение отдельных учебных предметов обязательной части;  </w:t>
      </w:r>
    </w:p>
    <w:p w:rsidR="003A2DDC" w:rsidRDefault="003A2DDC" w:rsidP="003A2DDC">
      <w:pPr>
        <w:spacing w:after="0" w:line="240" w:lineRule="auto"/>
        <w:ind w:firstLine="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 в психическом и (или) физическом развитии; введение учебных курсов для факультативного изучения отдельных учебных предметов.  </w:t>
      </w:r>
    </w:p>
    <w:p w:rsidR="003A2DDC" w:rsidRDefault="003A2DDC" w:rsidP="003A2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психокоррекционными) </w:t>
      </w:r>
      <w:r w:rsidR="002F6A72">
        <w:rPr>
          <w:rFonts w:ascii="Times New Roman" w:hAnsi="Times New Roman"/>
          <w:sz w:val="24"/>
          <w:szCs w:val="24"/>
        </w:rPr>
        <w:t>.</w:t>
      </w:r>
    </w:p>
    <w:p w:rsidR="003A2DDC" w:rsidRDefault="003A2DDC" w:rsidP="003A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коррекционных индивидуальных и групповых занятий, их количественное соотношение  осуществляется М</w:t>
      </w:r>
      <w:r w:rsidR="002513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«</w:t>
      </w:r>
      <w:r w:rsidR="002513FC">
        <w:rPr>
          <w:rFonts w:ascii="Times New Roman" w:hAnsi="Times New Roman"/>
          <w:sz w:val="24"/>
          <w:szCs w:val="24"/>
        </w:rPr>
        <w:t>Харитоновская СОШ Завьяловского района</w:t>
      </w:r>
      <w:r>
        <w:rPr>
          <w:rFonts w:ascii="Times New Roman" w:hAnsi="Times New Roman"/>
          <w:sz w:val="24"/>
          <w:szCs w:val="24"/>
        </w:rPr>
        <w:t xml:space="preserve">», исходя из психофизических особенностей обучающихся с умственной отсталостью на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</w:t>
      </w:r>
    </w:p>
    <w:p w:rsidR="003A2DDC" w:rsidRDefault="003A2DDC" w:rsidP="003A2DDC">
      <w:pPr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каждом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3A2DDC" w:rsidRDefault="003A2DDC" w:rsidP="003A2DDC">
      <w:pPr>
        <w:spacing w:after="0" w:line="240" w:lineRule="auto"/>
        <w:ind w:hanging="10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3A2DDC" w:rsidRDefault="003A2DDC" w:rsidP="002F6A72">
      <w:pPr>
        <w:spacing w:after="0" w:line="240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3A2DDC" w:rsidRPr="003A2DDC" w:rsidRDefault="00B4563F" w:rsidP="003A2DDC">
      <w:pPr>
        <w:spacing w:after="0" w:line="240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</w:t>
      </w:r>
      <w:r w:rsidR="003A2DDC" w:rsidRPr="003A2DDC">
        <w:rPr>
          <w:rFonts w:ascii="Times New Roman" w:hAnsi="Times New Roman"/>
          <w:b/>
          <w:sz w:val="24"/>
          <w:szCs w:val="24"/>
        </w:rPr>
        <w:t>чебный план для обучения на дому по АООП НОО обучающихся</w:t>
      </w:r>
      <w:r w:rsidR="003A2DDC" w:rsidRPr="003A2DDC">
        <w:rPr>
          <w:rFonts w:ascii="Times New Roman" w:hAnsi="Times New Roman"/>
          <w:sz w:val="24"/>
          <w:szCs w:val="24"/>
        </w:rPr>
        <w:t xml:space="preserve"> </w:t>
      </w:r>
      <w:r w:rsidR="003A2DDC">
        <w:rPr>
          <w:rFonts w:ascii="Times New Roman" w:hAnsi="Times New Roman"/>
          <w:b/>
          <w:i/>
          <w:color w:val="00000A"/>
          <w:sz w:val="24"/>
          <w:szCs w:val="24"/>
        </w:rPr>
        <w:t xml:space="preserve">с умственной отсталостью </w:t>
      </w:r>
      <w:r w:rsidR="003A2DDC" w:rsidRPr="003A2DDC">
        <w:rPr>
          <w:rFonts w:ascii="Times New Roman" w:hAnsi="Times New Roman"/>
          <w:b/>
          <w:i/>
          <w:color w:val="00000A"/>
          <w:sz w:val="24"/>
          <w:szCs w:val="24"/>
        </w:rPr>
        <w:t>В.2</w:t>
      </w:r>
      <w:r w:rsidR="00A65B11">
        <w:rPr>
          <w:rFonts w:ascii="Times New Roman" w:hAnsi="Times New Roman"/>
          <w:b/>
          <w:i/>
          <w:color w:val="00000A"/>
          <w:sz w:val="24"/>
          <w:szCs w:val="24"/>
        </w:rPr>
        <w:t xml:space="preserve">: </w:t>
      </w:r>
      <w:r w:rsidR="00176BB7" w:rsidRPr="00176BB7">
        <w:rPr>
          <w:rFonts w:ascii="Times New Roman" w:hAnsi="Times New Roman"/>
          <w:b/>
          <w:i/>
          <w:color w:val="00000A"/>
          <w:sz w:val="24"/>
          <w:szCs w:val="24"/>
        </w:rPr>
        <w:t xml:space="preserve"> </w:t>
      </w:r>
      <w:r w:rsidR="002F6A72">
        <w:rPr>
          <w:rFonts w:ascii="Times New Roman" w:hAnsi="Times New Roman"/>
          <w:b/>
          <w:i/>
          <w:color w:val="00000A"/>
          <w:sz w:val="24"/>
          <w:szCs w:val="24"/>
        </w:rPr>
        <w:t>8</w:t>
      </w:r>
      <w:r w:rsidR="00A65B11">
        <w:rPr>
          <w:rFonts w:ascii="Times New Roman" w:hAnsi="Times New Roman"/>
          <w:b/>
          <w:i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A"/>
          <w:sz w:val="24"/>
          <w:szCs w:val="24"/>
        </w:rPr>
        <w:t xml:space="preserve"> класс АООП ООО В.2</w:t>
      </w:r>
    </w:p>
    <w:p w:rsidR="003A2DDC" w:rsidRDefault="003A2DDC" w:rsidP="003A2D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08"/>
        <w:gridCol w:w="3120"/>
      </w:tblGrid>
      <w:tr w:rsidR="00A65B11" w:rsidRPr="006E0CED" w:rsidTr="00A65B11">
        <w:trPr>
          <w:trHeight w:val="537"/>
        </w:trPr>
        <w:tc>
          <w:tcPr>
            <w:tcW w:w="2808" w:type="dxa"/>
            <w:vMerge w:val="restart"/>
          </w:tcPr>
          <w:p w:rsidR="00A65B11" w:rsidRPr="00D97301" w:rsidRDefault="00A65B11" w:rsidP="00A65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08" w:type="dxa"/>
            <w:vMerge w:val="restart"/>
          </w:tcPr>
          <w:p w:rsidR="00A65B11" w:rsidRPr="00D97301" w:rsidRDefault="00A65B11" w:rsidP="00A65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20" w:type="dxa"/>
            <w:shd w:val="clear" w:color="auto" w:fill="auto"/>
          </w:tcPr>
          <w:p w:rsidR="00A65B11" w:rsidRPr="006E0CED" w:rsidRDefault="00A65B11" w:rsidP="00A6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ED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A65B11" w:rsidRPr="006E0CED" w:rsidTr="00A65B11">
        <w:tc>
          <w:tcPr>
            <w:tcW w:w="2808" w:type="dxa"/>
            <w:vMerge/>
          </w:tcPr>
          <w:p w:rsidR="00A65B11" w:rsidRPr="00D97301" w:rsidRDefault="00A65B11" w:rsidP="00A65B11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A65B11" w:rsidRPr="00D97301" w:rsidRDefault="00A65B11" w:rsidP="00A65B11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A65B11" w:rsidRPr="006E0CED" w:rsidRDefault="00A65B11" w:rsidP="00A65B11">
            <w:pPr>
              <w:ind w:firstLine="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E0C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A65B11" w:rsidRPr="00D97301" w:rsidTr="00A65B11">
        <w:tc>
          <w:tcPr>
            <w:tcW w:w="2808" w:type="dxa"/>
            <w:vMerge w:val="restart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1">
              <w:rPr>
                <w:rFonts w:ascii="Times New Roman" w:hAnsi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3120" w:type="dxa"/>
          </w:tcPr>
          <w:p w:rsidR="00A65B11" w:rsidRPr="00D97301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B11" w:rsidRPr="00D97301" w:rsidTr="00A65B11">
        <w:tc>
          <w:tcPr>
            <w:tcW w:w="2808" w:type="dxa"/>
            <w:vMerge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1">
              <w:rPr>
                <w:rFonts w:ascii="Times New Roman" w:hAnsi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3120" w:type="dxa"/>
          </w:tcPr>
          <w:p w:rsidR="00A65B11" w:rsidRPr="00D97301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B11" w:rsidRPr="00D97301" w:rsidTr="00A65B11">
        <w:tc>
          <w:tcPr>
            <w:tcW w:w="2808" w:type="dxa"/>
            <w:vMerge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1">
              <w:rPr>
                <w:rFonts w:ascii="Times New Roman" w:hAnsi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3120" w:type="dxa"/>
          </w:tcPr>
          <w:p w:rsidR="00A65B11" w:rsidRPr="00D97301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B11" w:rsidRPr="002C648E" w:rsidTr="00A65B11"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1">
              <w:rPr>
                <w:rFonts w:ascii="Times New Roman" w:hAnsi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3120" w:type="dxa"/>
          </w:tcPr>
          <w:p w:rsidR="00A65B11" w:rsidRPr="002C648E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65B11" w:rsidRPr="002C648E" w:rsidTr="00A65B11"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1">
              <w:rPr>
                <w:rFonts w:ascii="Times New Roman" w:hAnsi="Times New Roman"/>
                <w:sz w:val="24"/>
                <w:szCs w:val="24"/>
              </w:rPr>
              <w:t>Здоровье и основы безопасности жизнедеятельности (ОБЖ)</w:t>
            </w:r>
          </w:p>
        </w:tc>
        <w:tc>
          <w:tcPr>
            <w:tcW w:w="3120" w:type="dxa"/>
          </w:tcPr>
          <w:p w:rsidR="00A65B11" w:rsidRPr="002C648E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65B11" w:rsidRPr="002C648E" w:rsidTr="00A65B11">
        <w:trPr>
          <w:trHeight w:val="629"/>
        </w:trPr>
        <w:tc>
          <w:tcPr>
            <w:tcW w:w="2808" w:type="dxa"/>
          </w:tcPr>
          <w:p w:rsidR="00A65B1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08" w:type="dxa"/>
          </w:tcPr>
          <w:p w:rsidR="00A65B11" w:rsidRPr="00D9730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3120" w:type="dxa"/>
          </w:tcPr>
          <w:p w:rsidR="00A65B11" w:rsidRPr="002C648E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B11" w:rsidTr="00A65B11">
        <w:trPr>
          <w:trHeight w:val="180"/>
        </w:trPr>
        <w:tc>
          <w:tcPr>
            <w:tcW w:w="2808" w:type="dxa"/>
            <w:vMerge w:val="restart"/>
          </w:tcPr>
          <w:p w:rsidR="00A65B1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8" w:type="dxa"/>
          </w:tcPr>
          <w:p w:rsidR="00A65B1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–бытовая ориентировка</w:t>
            </w:r>
          </w:p>
        </w:tc>
        <w:tc>
          <w:tcPr>
            <w:tcW w:w="3120" w:type="dxa"/>
          </w:tcPr>
          <w:p w:rsidR="00A65B11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B11" w:rsidTr="00A65B11">
        <w:trPr>
          <w:trHeight w:val="180"/>
        </w:trPr>
        <w:tc>
          <w:tcPr>
            <w:tcW w:w="2808" w:type="dxa"/>
            <w:vMerge/>
          </w:tcPr>
          <w:p w:rsidR="00A65B1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65B1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3120" w:type="dxa"/>
          </w:tcPr>
          <w:p w:rsidR="00A65B11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65B11" w:rsidTr="00A65B11">
        <w:trPr>
          <w:trHeight w:val="180"/>
        </w:trPr>
        <w:tc>
          <w:tcPr>
            <w:tcW w:w="2808" w:type="dxa"/>
          </w:tcPr>
          <w:p w:rsidR="00A65B1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8" w:type="dxa"/>
          </w:tcPr>
          <w:p w:rsidR="00A65B11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3120" w:type="dxa"/>
          </w:tcPr>
          <w:p w:rsidR="00A65B11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B11" w:rsidRPr="00D97301" w:rsidTr="00A65B11">
        <w:tc>
          <w:tcPr>
            <w:tcW w:w="2808" w:type="dxa"/>
          </w:tcPr>
          <w:p w:rsidR="00A65B11" w:rsidRPr="006E0CED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D">
              <w:rPr>
                <w:rFonts w:ascii="Times New Roman" w:hAnsi="Times New Roman"/>
                <w:sz w:val="24"/>
                <w:szCs w:val="24"/>
              </w:rPr>
              <w:t xml:space="preserve">Коррекционно-адаптационная </w:t>
            </w:r>
          </w:p>
        </w:tc>
        <w:tc>
          <w:tcPr>
            <w:tcW w:w="2808" w:type="dxa"/>
          </w:tcPr>
          <w:p w:rsidR="00A65B11" w:rsidRPr="006E0CED" w:rsidRDefault="00A65B11" w:rsidP="00A6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D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20" w:type="dxa"/>
          </w:tcPr>
          <w:p w:rsidR="00A65B11" w:rsidRPr="00D97301" w:rsidRDefault="00A65B11" w:rsidP="00A65B11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6BB7" w:rsidRDefault="00176BB7" w:rsidP="003A2DD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176BB7" w:rsidSect="00B33A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129"/>
    <w:multiLevelType w:val="hybridMultilevel"/>
    <w:tmpl w:val="E0CEFFA0"/>
    <w:lvl w:ilvl="0" w:tplc="5A2CB672">
      <w:start w:val="1"/>
      <w:numFmt w:val="bullet"/>
      <w:lvlText w:val="•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4D4CCBA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5B4E22E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05A5E6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416CD7C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6E41564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CAEEB3E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1CA78D8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182CB04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2852081"/>
    <w:multiLevelType w:val="hybridMultilevel"/>
    <w:tmpl w:val="51D49176"/>
    <w:lvl w:ilvl="0" w:tplc="ED14C8CE">
      <w:start w:val="1"/>
      <w:numFmt w:val="bullet"/>
      <w:lvlText w:val="•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3FC5AC6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04688D6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5CC7E2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1D81B1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0D83C76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524783A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885F1C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2EAEB7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F03179"/>
    <w:multiLevelType w:val="hybridMultilevel"/>
    <w:tmpl w:val="41585636"/>
    <w:lvl w:ilvl="0" w:tplc="BD04FBDC">
      <w:start w:val="1"/>
      <w:numFmt w:val="decimal"/>
      <w:lvlText w:val="%1"/>
      <w:lvlJc w:val="left"/>
      <w:pPr>
        <w:ind w:left="1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05E3972">
      <w:start w:val="1"/>
      <w:numFmt w:val="lowerLetter"/>
      <w:lvlText w:val="%2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A7C4844">
      <w:start w:val="1"/>
      <w:numFmt w:val="lowerRoman"/>
      <w:lvlText w:val="%3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A80A3E4">
      <w:start w:val="1"/>
      <w:numFmt w:val="decimal"/>
      <w:lvlText w:val="%4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E5DEFE08">
      <w:start w:val="1"/>
      <w:numFmt w:val="lowerLetter"/>
      <w:lvlText w:val="%5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D82251C">
      <w:start w:val="1"/>
      <w:numFmt w:val="lowerRoman"/>
      <w:lvlText w:val="%6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80226CA">
      <w:start w:val="1"/>
      <w:numFmt w:val="decimal"/>
      <w:lvlText w:val="%7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852A404C">
      <w:start w:val="1"/>
      <w:numFmt w:val="lowerLetter"/>
      <w:lvlText w:val="%8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75C0674">
      <w:start w:val="1"/>
      <w:numFmt w:val="lowerRoman"/>
      <w:lvlText w:val="%9"/>
      <w:lvlJc w:val="left"/>
      <w:pPr>
        <w:ind w:left="6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2DDC"/>
    <w:rsid w:val="000A00AA"/>
    <w:rsid w:val="000C0F2C"/>
    <w:rsid w:val="00176BB7"/>
    <w:rsid w:val="002513FC"/>
    <w:rsid w:val="002F6A72"/>
    <w:rsid w:val="0031361E"/>
    <w:rsid w:val="003450C6"/>
    <w:rsid w:val="003A2DDC"/>
    <w:rsid w:val="00424EB0"/>
    <w:rsid w:val="005262CB"/>
    <w:rsid w:val="00531C8F"/>
    <w:rsid w:val="008C3907"/>
    <w:rsid w:val="00941641"/>
    <w:rsid w:val="009777AD"/>
    <w:rsid w:val="00A11D9F"/>
    <w:rsid w:val="00A65B11"/>
    <w:rsid w:val="00B33A60"/>
    <w:rsid w:val="00B4563F"/>
    <w:rsid w:val="00C03863"/>
    <w:rsid w:val="00CC6662"/>
    <w:rsid w:val="00DB45E3"/>
    <w:rsid w:val="00E72AB0"/>
    <w:rsid w:val="00F0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D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3A2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2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A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A2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A2DD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User</cp:lastModifiedBy>
  <cp:revision>2</cp:revision>
  <cp:lastPrinted>2016-09-16T02:08:00Z</cp:lastPrinted>
  <dcterms:created xsi:type="dcterms:W3CDTF">2017-09-25T02:27:00Z</dcterms:created>
  <dcterms:modified xsi:type="dcterms:W3CDTF">2017-09-25T02:27:00Z</dcterms:modified>
</cp:coreProperties>
</file>